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拓扑：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192.168.2.0/24（无线网段）---192.168.1.0----(mgt1--192.168.1.143) KFW(mgt2--192.168.101.1) -----192.168.101.0-----Internet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VPN分配的地址段 192.168.200.1--192.168.200.20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防火墙配置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vpn配置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 vpn ipsec phase1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edit "p1"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type dynamic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interface "mgt1"   </w:t>
      </w:r>
      <w:r>
        <w:rPr>
          <w:rFonts w:hint="eastAsia"/>
          <w:color w:val="FF0000"/>
          <w:lang w:val="en-US" w:eastAsia="zh-CN"/>
        </w:rPr>
        <w:t>选择内网接口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dhgrp 2 5 14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proposal aes256-md5 aes128-sha1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localid-type address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psksecret  12345678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next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r>
        <w:drawing>
          <wp:inline distT="0" distB="0" distL="114300" distR="114300">
            <wp:extent cx="3627120" cy="2954020"/>
            <wp:effectExtent l="0" t="0" r="1143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阶段2配置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 vpn ipsec phase2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edit "p2"</w:t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color w:val="FF0000"/>
          <w:lang w:val="en-US" w:eastAsia="zh-CN"/>
        </w:rPr>
        <w:t xml:space="preserve">   set encapsulation transport-mode  （这个是在图形界面没有配置，需要命令行设置）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keylife-type both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pfs disable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phase1name "p1"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proposal aes256-md5 aes128-sha1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keylifekbs 4608000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keylifeseconds 3600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next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601720" cy="3089910"/>
            <wp:effectExtent l="0" t="0" r="1778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l2tp设置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 vpn l2tp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set eip 192.168.200.20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set sip 192.168.200.1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set status enable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set dns-server1 114.114.114.114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set usrgrp "t"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策略设置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IPsec策略  从外网到内网建策略，动作是IPsec, 选择vpn隧道</w:t>
      </w:r>
    </w:p>
    <w:p>
      <w:r>
        <w:drawing>
          <wp:inline distT="0" distB="0" distL="114300" distR="114300">
            <wp:extent cx="3460750" cy="2467610"/>
            <wp:effectExtent l="0" t="0" r="635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允许客户端访问外网策略，从内网到外网建NAT策略。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3095625" cy="2187575"/>
            <wp:effectExtent l="0" t="0" r="952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2FE9"/>
    <w:rsid w:val="658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2017-12-14T08:01:00Z</dcterms:created>
  <dc:creator>hellotojinge</dc:creator>
  <cp:lastModifiedBy>hellotojinge</cp:lastModifiedBy>
  <dcterms:modified xsi:type="dcterms:W3CDTF">2017-12-14T08:45:26Z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